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F5354" w:rsidRDefault="00AF5354">
      <w:pPr>
        <w:shd w:val="clear" w:color="auto" w:fill="FFFFFF"/>
        <w:rPr>
          <w:rFonts w:ascii="Times New Roman" w:eastAsia="Times New Roman" w:hAnsi="Times New Roman" w:cs="Times New Roman"/>
          <w:b/>
          <w:bCs/>
          <w:sz w:val="24"/>
          <w:szCs w:val="24"/>
        </w:rPr>
      </w:pPr>
    </w:p>
    <w:p w14:paraId="00000002" w14:textId="77777777" w:rsidR="00AF5354" w:rsidRDefault="00000000">
      <w:pPr>
        <w:shd w:val="clear" w:color="auto" w:fill="FFFFFF"/>
        <w:spacing w:line="327"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Public Investment in the Care Economy in Nepal: Advancing Decent Work for Women</w:t>
      </w:r>
    </w:p>
    <w:p w14:paraId="00000003" w14:textId="77777777" w:rsidR="00AF5354" w:rsidRDefault="00AF5354">
      <w:pPr>
        <w:shd w:val="clear" w:color="auto" w:fill="FFFFFF"/>
        <w:spacing w:line="327" w:lineRule="auto"/>
        <w:rPr>
          <w:rFonts w:ascii="Times New Roman" w:eastAsia="Times New Roman" w:hAnsi="Times New Roman" w:cs="Times New Roman"/>
          <w:sz w:val="24"/>
          <w:szCs w:val="24"/>
        </w:rPr>
      </w:pPr>
    </w:p>
    <w:p w14:paraId="00000004" w14:textId="77777777" w:rsidR="00AF5354" w:rsidRDefault="00AF5354">
      <w:pPr>
        <w:shd w:val="clear" w:color="auto" w:fill="FFFFFF"/>
        <w:rPr>
          <w:rFonts w:ascii="Times New Roman" w:eastAsia="Times New Roman" w:hAnsi="Times New Roman" w:cs="Times New Roman"/>
          <w:b/>
          <w:bCs/>
          <w:sz w:val="24"/>
          <w:szCs w:val="24"/>
        </w:rPr>
      </w:pPr>
    </w:p>
    <w:p w14:paraId="00000005"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 work—paid and unpaid—is central to Nepal’s social and economic wellbeing yet remains undervalued and largely carried by women. Nepali women perform six times more unpaid work than men, exceeding regional averages. Female labour force participation is only 28.7 percent, with 40 percent of women citing care responsibilities as the main barrier to employment. Growing time poverty and a care crisis—driven by migration, longer life expectancy, and low fertility—pose significant challenges. Addressing these issues is essential to achieving the 16th Plan target of raising female labour force participation to 35 percent by 2028/29.</w:t>
      </w:r>
    </w:p>
    <w:p w14:paraId="00000006" w14:textId="77777777" w:rsidR="00AF5354" w:rsidRDefault="00AF5354">
      <w:pPr>
        <w:jc w:val="both"/>
        <w:rPr>
          <w:rFonts w:ascii="Times New Roman" w:eastAsia="Times New Roman" w:hAnsi="Times New Roman" w:cs="Times New Roman"/>
          <w:sz w:val="24"/>
          <w:szCs w:val="24"/>
        </w:rPr>
      </w:pPr>
    </w:p>
    <w:p w14:paraId="00000007"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highlights the importance of public investment in the care economy to promote decent work for women and advance gender-equitable, inclusive development in Nepal. Women’s economic participation is constrained by structural challenges: 61.2% work in subsistence farming and 84.6% of jobs are informal. Formal participation varies drastically by region and is heavily influenced by local gender and social norms. Financial </w:t>
      </w:r>
      <w:proofErr w:type="spellStart"/>
      <w:r>
        <w:rPr>
          <w:rFonts w:ascii="Times New Roman" w:eastAsia="Times New Roman" w:hAnsi="Times New Roman" w:cs="Times New Roman"/>
          <w:sz w:val="24"/>
          <w:szCs w:val="24"/>
        </w:rPr>
        <w:t>shocks</w:t>
      </w:r>
      <w:proofErr w:type="spellEnd"/>
      <w:r>
        <w:rPr>
          <w:rFonts w:ascii="Times New Roman" w:eastAsia="Times New Roman" w:hAnsi="Times New Roman" w:cs="Times New Roman"/>
          <w:sz w:val="24"/>
          <w:szCs w:val="24"/>
        </w:rPr>
        <w:t xml:space="preserve"> such as childcare or eldercare needs or illnesses, often force women to redirect resources away from productive investments toward urgent care expenses, compounded by limited access to social protection.</w:t>
      </w:r>
    </w:p>
    <w:p w14:paraId="00000008"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 Women-ILO policy tool ‘A Guide to Public Investments in the Care Economy: Policy support tool for estimating care deficits, investment costs and economic returns’ was employed to ascertain the care costing gaps and investment returns in the education and health sectors. The study undertook statistical data analysis to determine demand-led growth through investment in care services. The education sector included Early childhood care and education (ECCE) and Basic and secondary education whereas the health care sector included ill/patient care. The first stage establishes the deficits in each sub-sector of selected care (education and health care) in terms of coverage, comparing the actual levels observed in Nepal’s economy with targets set by the UN’s SDGs, ILO recommendations and/or the Government of Nepal (</w:t>
      </w:r>
      <w:proofErr w:type="spellStart"/>
      <w:r>
        <w:rPr>
          <w:rFonts w:ascii="Times New Roman" w:eastAsia="Times New Roman" w:hAnsi="Times New Roman" w:cs="Times New Roman"/>
          <w:sz w:val="24"/>
          <w:szCs w:val="24"/>
        </w:rPr>
        <w:t>GoN</w:t>
      </w:r>
      <w:proofErr w:type="spellEnd"/>
      <w:r>
        <w:rPr>
          <w:rFonts w:ascii="Times New Roman" w:eastAsia="Times New Roman" w:hAnsi="Times New Roman" w:cs="Times New Roman"/>
          <w:sz w:val="24"/>
          <w:szCs w:val="24"/>
        </w:rPr>
        <w:t>). In this study, this includes the number of enrolled students, the student-to-teacher ratio and the health-care-worker-to population ratio. The second stage calculates the investment required to meet the deficits identified, combining data on wages and other overhead costs. This includes the number of additional teachers or health-care workers to be hired, as well as the overhead costs of opening additional classrooms or clinics.</w:t>
      </w:r>
    </w:p>
    <w:p w14:paraId="00000009"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services in the education sector, three investment scenarios have been modelled, essentially designed to frame short-, medium- and long-term policy targets. Similarly in healthcare, two scenarios have been modelled. The findings were validated through multiple consultations and support from the tripartite steering committee formed for the assessment.</w:t>
      </w:r>
    </w:p>
    <w:p w14:paraId="0000000A"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ILO studies have stated that every dollar spent on a care package — including paid childcare leave and early childhood education — yields $3.99 in GDP increase. The high road to care requires 18.3% of GDP — implying a one-third increase in education spending and one-fifth in health and social work. By investing approximately USD 2.1 billion to meet Nepal’s care coverage gaps in education (Universal enrolment and target student–teacher ratios for all </w:t>
      </w:r>
      <w:r>
        <w:rPr>
          <w:rFonts w:ascii="Times New Roman" w:eastAsia="Times New Roman" w:hAnsi="Times New Roman" w:cs="Times New Roman"/>
          <w:sz w:val="24"/>
          <w:szCs w:val="24"/>
        </w:rPr>
        <w:lastRenderedPageBreak/>
        <w:t>students) and health (meeting international healthcare targets (SDG 3)), a total of 1,386,000 jobs will be generated (directly and indirectly), with at least 60 per cent filled by women.</w:t>
      </w:r>
    </w:p>
    <w:p w14:paraId="0000000B"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 decent work challenges in the care sector include informality, low wages, inadequate social protection, and limited labour rights, and can be addressed through coherent public policies aligned with international labour standards. By positioning care as both a social and political issue, and a productive economic sector, increased and well-designed public investment in care services can contribute to gender equality, strengthen human capital, and accelerate Nepal’s progress toward decent work and the Sustainable Development Goals.</w:t>
      </w:r>
    </w:p>
    <w:p w14:paraId="0000000C" w14:textId="77777777" w:rsidR="00AF535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return on such an investment on care in Nepal will be positive. Macro-economic policies play a key role in promoting the distribution of income and access to decent work opportunities for women. There is a need to shift the narrative from viewing care as a cost to recognizing it as an investment, and from seeing unpaid care as a burden to understanding it as a vital enabler of human capital development. A whole of society approach is required to recognize, reduce and redistribute unpaid care work and reward care workers with decent work and ensure their representation in social dialogue and collective bargaining.</w:t>
      </w:r>
    </w:p>
    <w:p w14:paraId="0000000D" w14:textId="77777777" w:rsidR="00AF5354" w:rsidRDefault="00AF5354">
      <w:pPr>
        <w:jc w:val="both"/>
        <w:rPr>
          <w:rFonts w:ascii="Times New Roman" w:eastAsia="Times New Roman" w:hAnsi="Times New Roman" w:cs="Times New Roman"/>
          <w:sz w:val="24"/>
          <w:szCs w:val="24"/>
        </w:rPr>
      </w:pPr>
    </w:p>
    <w:p w14:paraId="0000000E" w14:textId="77777777" w:rsidR="00AF5354" w:rsidRDefault="00000000">
      <w:pPr>
        <w:jc w:val="both"/>
        <w:rPr>
          <w:rFonts w:ascii="Times New Roman" w:eastAsia="Times New Roman" w:hAnsi="Times New Roman" w:cs="Times New Roman"/>
          <w:b/>
          <w:bCs/>
          <w:sz w:val="24"/>
          <w:szCs w:val="24"/>
          <w:shd w:val="clear" w:color="auto" w:fill="D9D9D9"/>
        </w:rPr>
      </w:pPr>
      <w:r>
        <w:rPr>
          <w:rFonts w:ascii="Times New Roman" w:eastAsia="Times New Roman" w:hAnsi="Times New Roman" w:cs="Times New Roman"/>
          <w:b/>
          <w:bCs/>
          <w:sz w:val="24"/>
          <w:szCs w:val="24"/>
          <w:shd w:val="clear" w:color="auto" w:fill="D9D9D9"/>
        </w:rPr>
        <w:t>Speaker bio:</w:t>
      </w:r>
    </w:p>
    <w:p w14:paraId="0000000F" w14:textId="77777777" w:rsidR="00AF5354" w:rsidRDefault="00AF5354">
      <w:pPr>
        <w:shd w:val="clear" w:color="auto" w:fill="FFFFFF"/>
        <w:rPr>
          <w:rFonts w:ascii="Times New Roman" w:eastAsia="Times New Roman" w:hAnsi="Times New Roman" w:cs="Times New Roman"/>
          <w:b/>
          <w:bCs/>
          <w:sz w:val="24"/>
          <w:szCs w:val="24"/>
        </w:rPr>
      </w:pPr>
    </w:p>
    <w:p w14:paraId="00000010" w14:textId="77777777" w:rsidR="00AF5354" w:rsidRDefault="00000000">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Kripa Basnyat is a 2018-19 Atlantic Senior Fellow for Social and Economic Equity based at London School of Economics and Political Science and is also a member of the affinity group of Atlantic Institute on Global Economies of Care. She works as National Project Officer for Empowered Women, Prosperous Nepal at ILO -Country Office Kathmandu. Earlier, Kripa used to support ILO Nepal Country Office’s UN Women-ILO Joint Programme on public investments in the care economy for women’s decent employment and C190/Violence and Harassment project. She has worked as a National Researcher for UN Women Nepal Office on Violence against Women in Politics. She is an intersectional feminist with experience of working with feminist human rights, international development organizations, regional networks and academic institutions in South Asia, East Africa and UK through research and policy advocacy, collective feminist movement building, leadership development and capacity strengthening initiatives. She holds </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 xml:space="preserve"> in Inequalities and Social Sciences from London School of Economics and Political Science and M.A. in Politics (specialisation in International Relations) from Jawaharlal Nehru University.</w:t>
      </w:r>
    </w:p>
    <w:p w14:paraId="00000011" w14:textId="77777777" w:rsidR="00AF5354" w:rsidRDefault="00AF5354"/>
    <w:sectPr w:rsidR="00AF535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421765-8FB2-470A-B5BC-A40B373548E6}"/>
  </w:font>
  <w:font w:name="Cambria">
    <w:panose1 w:val="02040503050406030204"/>
    <w:charset w:val="00"/>
    <w:family w:val="roman"/>
    <w:pitch w:val="variable"/>
    <w:sig w:usb0="E00006FF" w:usb1="420024FF" w:usb2="02000000" w:usb3="00000000" w:csb0="0000019F" w:csb1="00000000"/>
    <w:embedRegular r:id="rId2" w:fontKey="{FB90A0D2-A354-48C6-B51A-EE58CAEA40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formatting="1" w:enforcement="1" w:cryptProviderType="rsaAES" w:cryptAlgorithmClass="hash" w:cryptAlgorithmType="typeAny" w:cryptAlgorithmSid="14" w:cryptSpinCount="100000" w:hash="QpqqmJUqADb/mZ0OMjgvgp456C1mptpUhcGzmu9ZC0FXK5tYh+LQI67vh39Y1QQAsvcCJ0Zoe456rHTWzmzcOQ==" w:salt="qrNW90VUdgPViunUngqtE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354"/>
    <w:rsid w:val="005304C1"/>
    <w:rsid w:val="00AF5354"/>
    <w:rsid w:val="00EF5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dP+FaQ79dQFo4wJH08Ux7H2w1w==">CgMxLjA4AHIhMXFJVk1PZUg5MUxtV2FKX1hyem5fVlBoNEdGU3NfUGQ5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896</Words>
  <Characters>5110</Characters>
  <Application>Microsoft Office Word</Application>
  <DocSecurity>0</DocSecurity>
  <Lines>42</Lines>
  <Paragraphs>11</Paragraphs>
  <ScaleCrop>false</ScaleCrop>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2026-05-27T07:26:00Z</dcterms:created>
  <dcterms:modified xsi:type="dcterms:W3CDTF">2026-05-27T07:26:00Z</dcterms:modified>
</cp:coreProperties>
</file>