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28451F4E" w:rsidR="00B45ACD" w:rsidRDefault="00000000" w:rsidP="00CE1F17">
      <w:pPr>
        <w:jc w:val="center"/>
        <w:rPr>
          <w:rFonts w:ascii="Times New Roman" w:eastAsia="Times New Roman" w:hAnsi="Times New Roman" w:cs="Times New Roman"/>
          <w:b/>
          <w:bCs/>
          <w:color w:val="222222"/>
          <w:sz w:val="28"/>
          <w:szCs w:val="28"/>
          <w:highlight w:val="white"/>
        </w:rPr>
      </w:pPr>
      <w:r>
        <w:rPr>
          <w:rFonts w:ascii="Times New Roman" w:eastAsia="Times New Roman" w:hAnsi="Times New Roman" w:cs="Times New Roman"/>
          <w:b/>
          <w:bCs/>
          <w:color w:val="222222"/>
          <w:sz w:val="28"/>
          <w:szCs w:val="28"/>
          <w:highlight w:val="white"/>
        </w:rPr>
        <w:t>Addressing Childcare Missing Market for Low-Income Parents: Experimental Evidence from Urban Dhaka</w:t>
      </w:r>
    </w:p>
    <w:p w14:paraId="00000003" w14:textId="77777777" w:rsidR="00B45ACD" w:rsidRDefault="00B45ACD">
      <w:pPr>
        <w:jc w:val="both"/>
        <w:rPr>
          <w:rFonts w:ascii="Times New Roman" w:eastAsia="Times New Roman" w:hAnsi="Times New Roman" w:cs="Times New Roman"/>
          <w:color w:val="222222"/>
          <w:highlight w:val="white"/>
        </w:rPr>
      </w:pPr>
    </w:p>
    <w:p w14:paraId="00000004" w14:textId="77777777" w:rsidR="00B45ACD" w:rsidRDefault="00000000">
      <w:pPr>
        <w:shd w:val="clear" w:color="auto" w:fill="FFFFFF"/>
        <w:spacing w:after="160" w:line="301"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Women's labor force participation in low-income urban settings is frequently constrained by limited access to affordable, reliable, and trustworthy childcare. In Bangladesh, these constraints are especially pronounced in informal urban settlements, where long working hours, fragmented kin networks resulting from rural-to-urban migration, and safety concerns significantly limit mothers' ability to engage in paid employment. Simultaneously, a latent supply of women willing to provide childcare within their own communities remains untapped due to market coordination failures. This study presents midline findings from an impact evaluation of a home-based childcare model developed by BRAC to address these interrelated challenges.</w:t>
      </w:r>
    </w:p>
    <w:p w14:paraId="00000005" w14:textId="77777777" w:rsidR="00B45ACD" w:rsidRDefault="00000000">
      <w:pPr>
        <w:shd w:val="clear" w:color="auto" w:fill="FFFFFF"/>
        <w:spacing w:after="160" w:line="301"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The model trains women to provide childcare services from their homes to neighboring families, pursuing three simultaneous objectives: expanding access to affordable childcare that supports child development, enabling mothers' labor market participation, and generating entrepreneurial income opportunities for women caregivers. The evaluation employs a two-stage randomized controlled trial (RCT) implemented across four urban sites - Dhaka, Savar, Gazipur, and Tongi. At the cluster level, low-income urban neighborhoods were randomized to treatment or control status, with treatment clusters receiving a trained childcare entrepreneur. Within treatment clusters, mothers were further randomized into three arms: information only, information plus a cash transfer, and information plus a childcare fee subsidy. Cash transfers and fee subsidies were provided for six months, and the midline survey was conducted approximately nine months after intervention rollout began. A total of 2,882 mothers and 375 childcare entrepreneurs were successfully re-interviewed, yielding tracking rates of over 80% and 90%, respectively.</w:t>
      </w:r>
    </w:p>
    <w:p w14:paraId="00000006" w14:textId="77777777" w:rsidR="00B45ACD" w:rsidRDefault="00000000">
      <w:pPr>
        <w:shd w:val="clear" w:color="auto" w:fill="FFFFFF"/>
        <w:spacing w:after="160" w:line="301"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On the demand side, service uptake - defined as ever having used a childcare provider's services - stood at 17% in treatment clusters compared to 3% in control clusters at midline. Uptake varied substantially across treatment arms, with mothers receiving cash transfers exhibiting the highest utilization rates, exceeding 30%. Notably, uptake was highest in Dhaka despite relatively lower average household incomes, pointing to particularly acute unmet demand in dense urban settlements. Once mothers began using services, continuation rates were relatively high, suggesting that the model generates trust and acceptance conditional on initial adoption. Mothers who utilized the services were 1.5 times more likely than non-users to report that the caregiver treats children as her own - an important indicator of trust formation. Demand-side barriers remain, however: mothers with negative prior attitudes toward paid care were less likely to take up services, while those already engaged in earning activities for at least five hours daily at baseline were more likely to participate.</w:t>
      </w:r>
    </w:p>
    <w:p w14:paraId="00000007" w14:textId="77777777" w:rsidR="00B45ACD" w:rsidRDefault="00000000">
      <w:pPr>
        <w:shd w:val="clear" w:color="auto" w:fill="FFFFFF"/>
        <w:spacing w:after="160" w:line="301"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On labor market outcomes, intention-to-treat estimates for employment, time spent on earning activities, and income showed positive but statistically insignificant effects. However, </w:t>
      </w:r>
      <w:r>
        <w:rPr>
          <w:rFonts w:ascii="Times New Roman" w:eastAsia="Times New Roman" w:hAnsi="Times New Roman" w:cs="Times New Roman"/>
          <w:color w:val="222222"/>
          <w:sz w:val="24"/>
          <w:szCs w:val="24"/>
          <w:highlight w:val="white"/>
        </w:rPr>
        <w:lastRenderedPageBreak/>
        <w:t>instrumental variable analysis - accounting for actual service utilization rather than assignment - reveals significant increases in time spent on earning activities among users. These effects are concentrated among mothers who were employed at baseline and among mothers outside Dhaka who had prior earning experience, suggesting the model is most effective where labor market engagement is already established. Site-specific patterns in employment type also emerged, with Dhaka mothers more likely to work as domestic helpers and mothers in the other three sites more likely to be employed in the ready-made garment sector. A small but notable increase in maternal stress levels was observed, potentially reflecting working mothers' concerns about their children's wellbeing.</w:t>
      </w:r>
    </w:p>
    <w:p w14:paraId="00000009" w14:textId="7ECEB9D7" w:rsidR="00B45ACD" w:rsidRDefault="00000000" w:rsidP="00CE1F17">
      <w:pPr>
        <w:shd w:val="clear" w:color="auto" w:fill="FFFFFF"/>
        <w:spacing w:after="160" w:line="301"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On the supply side, 95% of active entrepreneurs were still delivering childcare services at midline after the subsidy period ended, caring for an average of 4.8 children and earning over BDT 6,500 monthly in childcare fees - substantially more than the BDT 4,000 average monthly income of control-group entrepreneurs. Considerable heterogeneity across sites, however, underscores the importance of context-specific implementation.</w:t>
      </w:r>
    </w:p>
    <w:p w14:paraId="0000000A" w14:textId="77777777" w:rsidR="00B45ACD" w:rsidRDefault="00B45ACD">
      <w:pPr>
        <w:jc w:val="both"/>
        <w:rPr>
          <w:rFonts w:ascii="Times New Roman" w:eastAsia="Times New Roman" w:hAnsi="Times New Roman" w:cs="Times New Roman"/>
          <w:color w:val="222222"/>
          <w:sz w:val="24"/>
          <w:szCs w:val="24"/>
          <w:highlight w:val="white"/>
        </w:rPr>
      </w:pPr>
    </w:p>
    <w:p w14:paraId="0000000B" w14:textId="77777777" w:rsidR="00B45ACD" w:rsidRDefault="00000000">
      <w:pPr>
        <w:jc w:val="both"/>
        <w:rPr>
          <w:rFonts w:ascii="Times New Roman" w:eastAsia="Times New Roman" w:hAnsi="Times New Roman" w:cs="Times New Roman"/>
          <w:b/>
          <w:bCs/>
          <w:sz w:val="24"/>
          <w:szCs w:val="24"/>
          <w:shd w:val="clear" w:color="auto" w:fill="D9D9D9"/>
        </w:rPr>
      </w:pPr>
      <w:r>
        <w:rPr>
          <w:rFonts w:ascii="Times New Roman" w:eastAsia="Times New Roman" w:hAnsi="Times New Roman" w:cs="Times New Roman"/>
          <w:b/>
          <w:bCs/>
          <w:sz w:val="24"/>
          <w:szCs w:val="24"/>
          <w:shd w:val="clear" w:color="auto" w:fill="D9D9D9"/>
        </w:rPr>
        <w:t>Speaker bio:</w:t>
      </w:r>
    </w:p>
    <w:p w14:paraId="0000000C" w14:textId="77777777" w:rsidR="00B45ACD" w:rsidRDefault="00B45ACD">
      <w:pPr>
        <w:jc w:val="both"/>
        <w:rPr>
          <w:rFonts w:ascii="Times New Roman" w:eastAsia="Times New Roman" w:hAnsi="Times New Roman" w:cs="Times New Roman"/>
          <w:sz w:val="24"/>
          <w:szCs w:val="24"/>
        </w:rPr>
      </w:pPr>
    </w:p>
    <w:p w14:paraId="0000000D" w14:textId="77777777" w:rsidR="00B45ACD" w:rsidRDefault="00000000">
      <w:pPr>
        <w:shd w:val="clear" w:color="auto" w:fill="FFFFFF"/>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Munshi Sulaiman, PhD, is the Director of Research and a Professor at BRAC Institute of Governance and Development (BIGD), BRAC University. Dr Sulaiman has over 20 years of experience conducting primary research on social programs, with a strong focus on experimental and quantitative methods. His work spans South Asia and East Africa, where he has held senior research positions at BRAC, Save the Children, and Innovations for Poverty Action. He has published extensively on poverty, financial inclusion, and labour markets, including in leading international economics journals. Dr Sulaiman holds a PhD in Development Studies from the London School of Economics and Political Science (LSE) and was a Postdoctoral Fellow at Yale University.</w:t>
      </w:r>
    </w:p>
    <w:p w14:paraId="0000000E" w14:textId="77777777" w:rsidR="00B45ACD" w:rsidRDefault="00B45ACD"/>
    <w:sectPr w:rsidR="00B45AC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6A25E4E-DC7F-47DF-BB48-3312C24851EF}"/>
  </w:font>
  <w:font w:name="Cambria">
    <w:panose1 w:val="02040503050406030204"/>
    <w:charset w:val="00"/>
    <w:family w:val="roman"/>
    <w:pitch w:val="variable"/>
    <w:sig w:usb0="E00006FF" w:usb1="420024FF" w:usb2="02000000" w:usb3="00000000" w:csb0="0000019F" w:csb1="00000000"/>
    <w:embedRegular r:id="rId2" w:fontKey="{AC33C37C-E841-4CE0-8431-BB610BFDBC6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ocumentProtection w:formatting="1" w:enforcement="1" w:cryptProviderType="rsaAES" w:cryptAlgorithmClass="hash" w:cryptAlgorithmType="typeAny" w:cryptAlgorithmSid="14" w:cryptSpinCount="100000" w:hash="YFq7S6AFF+9tGNJYREEvq7nPD8wSESrUNHDR2uRHmEsJYfT/ewzjJ7wUSApD2HEBhlHDjes/RQCLTGvjTbX3MQ==" w:salt="RQatLTQVGCRquSMIyJjHAA=="/>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ACD"/>
    <w:rsid w:val="005304C1"/>
    <w:rsid w:val="00B45ACD"/>
    <w:rsid w:val="00CE1F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D6879"/>
  <w15:docId w15:val="{9FA22FBB-7C32-4302-AD77-81272976B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WzqXCOpc+FVddKIGG86pvJREnQ==">CgMxLjA4AHIhMWFoc2hpMXlDdXd2ZzRHLVVsQmhGaENlYWYzaEpDMXRl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775</Words>
  <Characters>4419</Characters>
  <Application>Microsoft Office Word</Application>
  <DocSecurity>0</DocSecurity>
  <Lines>36</Lines>
  <Paragraphs>10</Paragraphs>
  <ScaleCrop>false</ScaleCrop>
  <Company/>
  <LinksUpToDate>false</LinksUpToDate>
  <CharactersWithSpaces>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Williamson</cp:lastModifiedBy>
  <cp:revision>2</cp:revision>
  <dcterms:created xsi:type="dcterms:W3CDTF">2026-05-27T07:27:00Z</dcterms:created>
  <dcterms:modified xsi:type="dcterms:W3CDTF">2026-05-27T07:27:00Z</dcterms:modified>
</cp:coreProperties>
</file>