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1EE3" w:rsidRDefault="00000000">
      <w:p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Who Cares When Families Can’t? Ageing and the Limits of Household Care in Sri Lanka</w:t>
      </w:r>
    </w:p>
    <w:p w14:paraId="00000002" w14:textId="77777777" w:rsidR="00271EE3" w:rsidRDefault="00271EE3">
      <w:pPr>
        <w:pBdr>
          <w:top w:val="nil"/>
          <w:left w:val="nil"/>
          <w:bottom w:val="nil"/>
          <w:right w:val="nil"/>
          <w:between w:val="nil"/>
        </w:pBdr>
        <w:jc w:val="center"/>
        <w:rPr>
          <w:rFonts w:ascii="Times New Roman" w:eastAsia="Times New Roman" w:hAnsi="Times New Roman" w:cs="Times New Roman"/>
          <w:b/>
          <w:bCs/>
          <w:sz w:val="28"/>
          <w:szCs w:val="28"/>
        </w:rPr>
      </w:pPr>
    </w:p>
    <w:p w14:paraId="00000003" w14:textId="77777777" w:rsidR="00271EE3" w:rsidRDefault="00271EE3">
      <w:pPr>
        <w:pBdr>
          <w:top w:val="nil"/>
          <w:left w:val="nil"/>
          <w:bottom w:val="nil"/>
          <w:right w:val="nil"/>
          <w:between w:val="nil"/>
        </w:pBdr>
        <w:jc w:val="both"/>
        <w:rPr>
          <w:rFonts w:ascii="Times New Roman" w:eastAsia="Times New Roman" w:hAnsi="Times New Roman" w:cs="Times New Roman"/>
          <w:color w:val="000000"/>
        </w:rPr>
      </w:pPr>
    </w:p>
    <w:p w14:paraId="00000004"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Care remains central to everyday life, yet it continues to be treated as a private responsibility rather than a public good. In Sri Lanka, care for children, older persons, and persons with disabilities is provided predominantly within the household, shaped by social and cultural expectations that position women as natural caregivers. The result is a care regime in which women, especially within the family, absorb the costs of social reproduction that are essential to the wider economy but remain largely invisible in policy and accounting.</w:t>
      </w:r>
    </w:p>
    <w:p w14:paraId="00000005" w14:textId="77777777" w:rsidR="00271EE3" w:rsidRDefault="00271EE3">
      <w:pPr>
        <w:jc w:val="both"/>
        <w:rPr>
          <w:rFonts w:ascii="Times New Roman" w:eastAsia="Times New Roman" w:hAnsi="Times New Roman" w:cs="Times New Roman"/>
          <w:color w:val="000000"/>
        </w:rPr>
      </w:pPr>
    </w:p>
    <w:p w14:paraId="00000006"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Using the care diamond as a conceptual entry point, this presentation examines the distribution of care across the household, the state, the market, and the community. While the care diamond suggests that care is produced through interaction between these four institutional sites, the Sri Lankan experience reveals an uneven distribution. The household remains the primary site of care, while the state’s contribution is oversubscribed, market-based care is often unaffordable or uneven in quality, and community provision remains fragmented. This imbalance places a disproportionate burden on women, whose unpaid labour sustains family wellbeing, enables paid employment by others, and underpins the economy.</w:t>
      </w:r>
    </w:p>
    <w:p w14:paraId="00000007" w14:textId="77777777" w:rsidR="00271EE3" w:rsidRDefault="00271EE3">
      <w:pPr>
        <w:jc w:val="both"/>
        <w:rPr>
          <w:rFonts w:ascii="Times New Roman" w:eastAsia="Times New Roman" w:hAnsi="Times New Roman" w:cs="Times New Roman"/>
          <w:color w:val="000000"/>
        </w:rPr>
      </w:pPr>
    </w:p>
    <w:p w14:paraId="00000008"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economic and demographic evidence makes this imbalance increasingly difficult to ignore. Research using time-use survey data estimates that, if unpaid care and domestic work in Sri Lanka were assigned a monetary value, it would amount to approximately 14 per cent of GDP. At the same time, Sri Lanka is ageing rapidly, with projections indicating that by 2042, one in four Sri Lankans will be over the age of 60. This shift will increase demand for long-term care, health support, mobility assistance, and social protection. Recent economic crises have also intensified migration among the working-age population, leaving many older persons in households with fewer available caregivers. In this context, the presentation focuses on the implications of the uneven distribution of care, particularly for women, in households with rising care needs, and the state’s responsibility to respond to care as a public concern.</w:t>
      </w:r>
    </w:p>
    <w:p w14:paraId="00000009" w14:textId="77777777" w:rsidR="00271EE3" w:rsidRDefault="00271EE3">
      <w:pPr>
        <w:jc w:val="both"/>
        <w:rPr>
          <w:rFonts w:ascii="Times New Roman" w:eastAsia="Times New Roman" w:hAnsi="Times New Roman" w:cs="Times New Roman"/>
          <w:color w:val="000000"/>
        </w:rPr>
      </w:pPr>
    </w:p>
    <w:p w14:paraId="0000000A"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economic significance of unpaid and under-paid care is often obscured by its location within the private sphere. Activities such as feeding, bathing, supervising, transporting, cleaning, emotional support, and long-term caregiving are not captured adequately in conventional measures of production, despite enabling paid work, education, health, and social participation. Valuing unpaid care is therefore not only an economic calculation, but a political provocation. It exposes the extent to which the formal economy relies on feminised labour that is neither remunerated nor sufficiently supported, and challenges the assumption that care belongs outside economic policy.</w:t>
      </w:r>
    </w:p>
    <w:p w14:paraId="0000000B" w14:textId="77777777" w:rsidR="00271EE3" w:rsidRDefault="00271EE3">
      <w:pPr>
        <w:jc w:val="both"/>
        <w:rPr>
          <w:rFonts w:ascii="Times New Roman" w:eastAsia="Times New Roman" w:hAnsi="Times New Roman" w:cs="Times New Roman"/>
          <w:color w:val="000000"/>
        </w:rPr>
      </w:pPr>
    </w:p>
    <w:p w14:paraId="0000000C"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Sri Lanka’s demographic and economic transitions make the current model of care increasingly untenable. Rising longevity, shrinking household size, migration, and economic insecurity are reshaping the conditions under which care is provided. These shifts raise urgent questions about the sustainability of family-based care arrangements and the gendered assumptions on which they depend.</w:t>
      </w:r>
    </w:p>
    <w:p w14:paraId="0000000D" w14:textId="77777777" w:rsidR="00271EE3" w:rsidRDefault="00271EE3">
      <w:pPr>
        <w:jc w:val="both"/>
        <w:rPr>
          <w:rFonts w:ascii="Times New Roman" w:eastAsia="Times New Roman" w:hAnsi="Times New Roman" w:cs="Times New Roman"/>
          <w:color w:val="000000"/>
        </w:rPr>
      </w:pPr>
    </w:p>
    <w:p w14:paraId="0000000E"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Recent policy developments suggest a growing recognition of care as a governance priority. Sri Lanka’s National Social Protection Strategy, released in 2025, adopts a life-cycle approach and includes social care as a key pillar. This moves care beyond the language of private duty and towards public responsibility. However, recognition must be matched by measures that </w:t>
      </w:r>
      <w:r>
        <w:rPr>
          <w:rFonts w:ascii="Times New Roman" w:eastAsia="Times New Roman" w:hAnsi="Times New Roman" w:cs="Times New Roman"/>
          <w:color w:val="000000"/>
        </w:rPr>
        <w:lastRenderedPageBreak/>
        <w:t>expand access while safeguarding quality and affordability. In a context of fiscal constraint, the state may not be able to provide all forms of care directly or immediately. Nevertheless, fiscal limitation does not absolve the state of its duty to citizens. It requires prioritisation, coordination, and regulatory and financing frameworks that prevent care from being left solely to households or unregulated markets.</w:t>
      </w:r>
    </w:p>
    <w:p w14:paraId="0000000F" w14:textId="77777777" w:rsidR="00271EE3" w:rsidRDefault="00271EE3">
      <w:pPr>
        <w:jc w:val="both"/>
        <w:rPr>
          <w:rFonts w:ascii="Times New Roman" w:eastAsia="Times New Roman" w:hAnsi="Times New Roman" w:cs="Times New Roman"/>
          <w:color w:val="000000"/>
        </w:rPr>
      </w:pPr>
    </w:p>
    <w:p w14:paraId="00000010"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meaningful care system requires public investment and public stewardship. This includes support for household caregivers through respite services, cash and in-kind assistance, community-based care, and trained personnel where long-term care needs exceed family capacity. It also requires the state to set and enforce minimum standards, develop certification pathways for care workers, monitor quality, and prevent a two-tiered system in which only wealthier households can access dignified care. </w:t>
      </w:r>
    </w:p>
    <w:p w14:paraId="00000011" w14:textId="77777777" w:rsidR="00271EE3" w:rsidRDefault="00271EE3">
      <w:pPr>
        <w:jc w:val="both"/>
        <w:rPr>
          <w:rFonts w:ascii="Times New Roman" w:eastAsia="Times New Roman" w:hAnsi="Times New Roman" w:cs="Times New Roman"/>
          <w:color w:val="000000"/>
        </w:rPr>
      </w:pPr>
    </w:p>
    <w:p w14:paraId="00000012" w14:textId="77777777" w:rsidR="00271EE3"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politics of care in Sri Lanka must therefore move beyond symbolic appreciation of women’s caregiving roles. It must confront the structural dependence of the economy and state on unpaid female labour, while recognising the state’s obligation to build systems that are fiscally realistic, socially just, and capable of ensuring quality care. As ageing, migration, disability, and economic insecurity reshape household life, care can no longer be treated as an invisible reserve of labour within families. It must be recognised as a public good, a social right, and a central condition of economic and democratic life.</w:t>
      </w:r>
    </w:p>
    <w:p w14:paraId="00000013" w14:textId="77777777" w:rsidR="00271EE3" w:rsidRDefault="00271EE3">
      <w:pPr>
        <w:jc w:val="both"/>
        <w:rPr>
          <w:rFonts w:ascii="Times New Roman" w:eastAsia="Times New Roman" w:hAnsi="Times New Roman" w:cs="Times New Roman"/>
        </w:rPr>
      </w:pPr>
    </w:p>
    <w:p w14:paraId="00000014" w14:textId="77777777" w:rsidR="00271EE3" w:rsidRDefault="00271EE3">
      <w:pPr>
        <w:jc w:val="both"/>
        <w:rPr>
          <w:rFonts w:ascii="Times New Roman" w:eastAsia="Times New Roman" w:hAnsi="Times New Roman" w:cs="Times New Roman"/>
          <w:color w:val="000000"/>
        </w:rPr>
      </w:pPr>
    </w:p>
    <w:p w14:paraId="00000015" w14:textId="77777777" w:rsidR="00271EE3" w:rsidRDefault="00000000">
      <w:pPr>
        <w:jc w:val="both"/>
        <w:rPr>
          <w:rFonts w:ascii="Times New Roman" w:eastAsia="Times New Roman" w:hAnsi="Times New Roman" w:cs="Times New Roman"/>
          <w:b/>
          <w:bCs/>
          <w:color w:val="000000"/>
          <w:shd w:val="clear" w:color="auto" w:fill="D9D9D9"/>
        </w:rPr>
      </w:pPr>
      <w:r>
        <w:rPr>
          <w:rFonts w:ascii="Times New Roman" w:eastAsia="Times New Roman" w:hAnsi="Times New Roman" w:cs="Times New Roman"/>
          <w:b/>
          <w:bCs/>
          <w:color w:val="000000"/>
          <w:shd w:val="clear" w:color="auto" w:fill="D9D9D9"/>
        </w:rPr>
        <w:t>Speaker bio:</w:t>
      </w:r>
    </w:p>
    <w:p w14:paraId="00000016" w14:textId="77777777" w:rsidR="00271EE3" w:rsidRDefault="00271EE3">
      <w:pPr>
        <w:jc w:val="both"/>
        <w:rPr>
          <w:rFonts w:ascii="Times New Roman" w:eastAsia="Times New Roman" w:hAnsi="Times New Roman" w:cs="Times New Roman"/>
          <w:color w:val="000000"/>
        </w:rPr>
      </w:pPr>
    </w:p>
    <w:p w14:paraId="00000017" w14:textId="77777777" w:rsidR="00271EE3" w:rsidRDefault="00000000">
      <w:pPr>
        <w:rPr>
          <w:rFonts w:ascii="Times New Roman" w:eastAsia="Times New Roman" w:hAnsi="Times New Roman" w:cs="Times New Roman"/>
        </w:rPr>
      </w:pPr>
      <w:r>
        <w:rPr>
          <w:rFonts w:ascii="Times New Roman" w:eastAsia="Times New Roman" w:hAnsi="Times New Roman" w:cs="Times New Roman"/>
          <w:b/>
          <w:bCs/>
        </w:rPr>
        <w:t xml:space="preserve">Nadhiya </w:t>
      </w:r>
      <w:proofErr w:type="spellStart"/>
      <w:r>
        <w:rPr>
          <w:rFonts w:ascii="Times New Roman" w:eastAsia="Times New Roman" w:hAnsi="Times New Roman" w:cs="Times New Roman"/>
          <w:b/>
          <w:bCs/>
        </w:rPr>
        <w:t>Najab</w:t>
      </w:r>
      <w:proofErr w:type="spellEnd"/>
      <w:r>
        <w:rPr>
          <w:rFonts w:ascii="Times New Roman" w:eastAsia="Times New Roman" w:hAnsi="Times New Roman" w:cs="Times New Roman"/>
        </w:rPr>
        <w:t xml:space="preserve"> is a social sciences researcher specialising in gender and development, post-war resettlement, the care economy, labour migration, and livelihood opportunities for marginalised and vulnerable groups. Her work is informed by a strong gender, poverty, and social inclusion lens, with a focus on producing evidence-based and policy-relevant analysis. She has worked with international and local development agencies, as well as government entities, on research and policy-oriented assignments. At Verité Research, Nadhiya serves as Lead Analyst in Socio-Economics.</w:t>
      </w:r>
    </w:p>
    <w:p w14:paraId="00000018" w14:textId="77777777" w:rsidR="00271EE3" w:rsidRDefault="00271EE3"/>
    <w:p w14:paraId="00000019" w14:textId="77777777" w:rsidR="00271EE3" w:rsidRDefault="00271EE3">
      <w:pPr>
        <w:jc w:val="both"/>
        <w:rPr>
          <w:rFonts w:ascii="Calibri" w:eastAsia="Calibri" w:hAnsi="Calibri" w:cs="Calibri"/>
        </w:rPr>
      </w:pPr>
    </w:p>
    <w:sectPr w:rsidR="00271EE3">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73DA789-2B57-4A7E-BCFC-BCF176C582F3}"/>
    <w:embedItalic r:id="rId2" w:fontKey="{971A1097-DCEC-4232-BD0F-46C825E1220A}"/>
  </w:font>
  <w:font w:name="Play">
    <w:altName w:val="Calibri"/>
    <w:charset w:val="00"/>
    <w:family w:val="auto"/>
    <w:pitch w:val="default"/>
    <w:embedRegular r:id="rId3" w:fontKey="{E0F26068-65F7-4EFB-BD55-F2CA5708829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5CFD1B2-33DA-4C17-BCBB-692DB71BA9BD}"/>
  </w:font>
  <w:font w:name="Cambria">
    <w:panose1 w:val="02040503050406030204"/>
    <w:charset w:val="00"/>
    <w:family w:val="roman"/>
    <w:pitch w:val="variable"/>
    <w:sig w:usb0="E00006FF" w:usb1="420024FF" w:usb2="02000000" w:usb3="00000000" w:csb0="0000019F" w:csb1="00000000"/>
    <w:embedRegular r:id="rId5" w:fontKey="{26122CD7-1FA5-479B-B877-A184613660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formatting="1" w:enforcement="1" w:cryptProviderType="rsaAES" w:cryptAlgorithmClass="hash" w:cryptAlgorithmType="typeAny" w:cryptAlgorithmSid="14" w:cryptSpinCount="100000" w:hash="9DvfT3qVMf6lO2M517dQEMi8W3DFXJovop/q4Fjpw/a3Ozh1aL81RM6nVFo9IIdXN6Bi62QEwvYXi2aqfGgO0Q==" w:salt="CLp2MnCKz6IcX3UpDm4D8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E3"/>
    <w:rsid w:val="00271EE3"/>
    <w:rsid w:val="005304C1"/>
    <w:rsid w:val="005A5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aqOMk4a4090a8/X2FYGsmi5ZVg==">CgMxLjA4AHIhMXNYQU41d3FWYTlBeW0zdXl0RlcxX2xjd3ZIX01Sc0J2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872</Words>
  <Characters>4971</Characters>
  <Application>Microsoft Office Word</Application>
  <DocSecurity>0</DocSecurity>
  <Lines>41</Lines>
  <Paragraphs>11</Paragraphs>
  <ScaleCrop>false</ScaleCrop>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2026-05-27T07:28:00Z</dcterms:created>
  <dcterms:modified xsi:type="dcterms:W3CDTF">2026-05-27T07:28:00Z</dcterms:modified>
</cp:coreProperties>
</file>