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North Yorkshire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1,199 children in North Yorkshire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£24,939,200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North Yorkshire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North Yorkshire;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North Yorkshire,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North Yorkshire.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