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before="360" w:lineRule="auto"/>
        <w:rPr>
          <w:rFonts w:ascii="Aptos" w:cs="Aptos" w:eastAsia="Aptos" w:hAnsi="Aptos"/>
          <w:b w:val="1"/>
          <w:bCs w:val="1"/>
          <w:color w:val="000000"/>
          <w:sz w:val="34"/>
          <w:szCs w:val="34"/>
        </w:rPr>
      </w:pPr>
      <w:bookmarkStart w:colFirst="0" w:colLast="0" w:name="_heading=h.y0razwd7ub8p" w:id="0"/>
      <w:bookmarkEnd w:id="0"/>
      <w:r w:rsidDel="00000000" w:rsidR="00000000" w:rsidRPr="00000000">
        <w:rPr>
          <w:rFonts w:ascii="Aptos" w:cs="Aptos" w:eastAsia="Aptos" w:hAnsi="Aptos"/>
          <w:b w:val="1"/>
          <w:bCs w:val="1"/>
          <w:color w:val="000000"/>
          <w:sz w:val="34"/>
          <w:szCs w:val="34"/>
          <w:rtl w:val="0"/>
        </w:rPr>
        <w:t xml:space="preserve">Council Motion: Making Digital Care Inclusive, Accessible, Safe and Accountable</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This Council notes that:</w:t>
      </w:r>
    </w:p>
    <w:p w:rsidR="00000000" w:rsidDel="00000000" w:rsidP="00000000" w:rsidRDefault="00000000" w:rsidRPr="00000000" w14:paraId="00000003">
      <w:pPr>
        <w:numPr>
          <w:ilvl w:val="0"/>
          <w:numId w:val="2"/>
        </w:numPr>
        <w:spacing w:after="200" w:before="240" w:lineRule="auto"/>
        <w:ind w:left="720" w:hanging="360"/>
      </w:pPr>
      <w:r w:rsidDel="00000000" w:rsidR="00000000" w:rsidRPr="00000000">
        <w:rPr>
          <w:rtl w:val="0"/>
        </w:rPr>
        <w:t xml:space="preserve">Digital technology is increasingly part of adult social care and unpaid carer support, including online information and advice, self-referral routes, assessments, care records, portals, technology-enabled care (“telecare”), remote monitoring and emerging uses of artificial intelligence (AI).</w:t>
      </w:r>
    </w:p>
    <w:p w:rsidR="00000000" w:rsidDel="00000000" w:rsidP="00000000" w:rsidRDefault="00000000" w:rsidRPr="00000000" w14:paraId="00000004">
      <w:pPr>
        <w:numPr>
          <w:ilvl w:val="0"/>
          <w:numId w:val="2"/>
        </w:numPr>
        <w:spacing w:after="200" w:before="0" w:lineRule="auto"/>
        <w:ind w:left="720" w:hanging="360"/>
      </w:pPr>
      <w:r w:rsidDel="00000000" w:rsidR="00000000" w:rsidRPr="00000000">
        <w:rPr>
          <w:rtl w:val="0"/>
        </w:rPr>
        <w:t xml:space="preserve">Used well, digital tools can support independence, improve access to information, help people manage care, strengthen communication and support more joined-up services.</w:t>
      </w:r>
    </w:p>
    <w:p w:rsidR="00000000" w:rsidDel="00000000" w:rsidP="00000000" w:rsidRDefault="00000000" w:rsidRPr="00000000" w14:paraId="00000005">
      <w:pPr>
        <w:numPr>
          <w:ilvl w:val="0"/>
          <w:numId w:val="2"/>
        </w:numPr>
        <w:spacing w:after="200" w:before="0" w:lineRule="auto"/>
        <w:ind w:left="720" w:hanging="360"/>
      </w:pPr>
      <w:r w:rsidDel="00000000" w:rsidR="00000000" w:rsidRPr="00000000">
        <w:rPr>
          <w:rtl w:val="0"/>
        </w:rPr>
        <w:t xml:space="preserve">However, digital transformation can also create new barriers and risks for people who draw on care and support, unpaid carers, older people, disabled people, people from Black, Asian and minoritised ethnic communities, people on low incomes, people without reliable internet access, and those who lack confidence, skills or suitable devices.</w:t>
      </w:r>
    </w:p>
    <w:p w:rsidR="00000000" w:rsidDel="00000000" w:rsidP="00000000" w:rsidRDefault="00000000" w:rsidRPr="00000000" w14:paraId="00000006">
      <w:pPr>
        <w:numPr>
          <w:ilvl w:val="0"/>
          <w:numId w:val="2"/>
        </w:numPr>
        <w:spacing w:after="200" w:before="0" w:lineRule="auto"/>
        <w:ind w:left="720" w:hanging="360"/>
      </w:pPr>
      <w:r w:rsidDel="00000000" w:rsidR="00000000" w:rsidRPr="00000000">
        <w:rPr>
          <w:rtl w:val="0"/>
        </w:rPr>
        <w:t xml:space="preserve">Centre for Care research on digital exclusion and unpaid carers shows that carers can benefit from digital tools, but may also face barriers around affordability, connectivity, confidence, online safety, device access, rapid technological change and the continuing need for face-to-face or other non-digital support.</w:t>
      </w:r>
    </w:p>
    <w:p w:rsidR="00000000" w:rsidDel="00000000" w:rsidP="00000000" w:rsidRDefault="00000000" w:rsidRPr="00000000" w14:paraId="00000007">
      <w:pPr>
        <w:numPr>
          <w:ilvl w:val="0"/>
          <w:numId w:val="2"/>
        </w:numPr>
        <w:spacing w:after="200" w:before="0" w:lineRule="auto"/>
        <w:ind w:left="720" w:hanging="360"/>
      </w:pPr>
      <w:r w:rsidDel="00000000" w:rsidR="00000000" w:rsidRPr="00000000">
        <w:rPr>
          <w:rtl w:val="0"/>
        </w:rPr>
        <w:t xml:space="preserve">Local authorities have important responsibilities under the Care Act 2014, including information and advice, prevention, assessment, support for unpaid carers and ensuring that people can access care and support in ways that meet their needs. These responsibilities remain relevant where services are delivered, mediated or supported through digital systems.</w:t>
      </w:r>
    </w:p>
    <w:p w:rsidR="00000000" w:rsidDel="00000000" w:rsidP="00000000" w:rsidRDefault="00000000" w:rsidRPr="00000000" w14:paraId="00000008">
      <w:pPr>
        <w:numPr>
          <w:ilvl w:val="0"/>
          <w:numId w:val="2"/>
        </w:numPr>
        <w:spacing w:after="200" w:before="0" w:lineRule="auto"/>
        <w:ind w:left="720" w:hanging="360"/>
      </w:pPr>
      <w:r w:rsidDel="00000000" w:rsidR="00000000" w:rsidRPr="00000000">
        <w:rPr>
          <w:rtl w:val="0"/>
        </w:rPr>
        <w:t xml:space="preserve">The Care Quality Commission’s local authority assessment framework expects information about care and support to be accessible, including for people who cannot use digital tools, making digital inclusion relevant to adult social care assurance and improvement.</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8.00000000000006" w:lineRule="auto"/>
        <w:ind w:left="720" w:right="0" w:hanging="360"/>
        <w:jc w:val="left"/>
      </w:pPr>
      <w:r w:rsidDel="00000000" w:rsidR="00000000" w:rsidRPr="00000000">
        <w:rPr>
          <w:rtl w:val="0"/>
        </w:rPr>
        <w:t xml:space="preserve">The UK’s analogue landline network is being replaced by digital phone services by January 2027. This has significant implications for adult social care because some telecare devices — including pendant alarms, fall monitors and environmental sensors — rely on landline connections and may need to be checked, upgraded or replaced to work safely on digital networks.</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8.00000000000006" w:lineRule="auto"/>
        <w:ind w:left="720" w:right="0" w:hanging="360"/>
        <w:jc w:val="left"/>
      </w:pPr>
      <w:r w:rsidDel="00000000" w:rsidR="00000000" w:rsidRPr="00000000">
        <w:rPr>
          <w:rtl w:val="0"/>
        </w:rPr>
        <w:t xml:space="preserve">AI and automated tools are increasingly being explored across public services, including local government and care. Centre for Care research highlights the need to ask whether AI in care augments or depletes relationships, professional judgement, fairness and support, and whether benefits and risks are evenly distributed.</w:t>
      </w:r>
    </w:p>
    <w:p w:rsidR="00000000" w:rsidDel="00000000" w:rsidP="00000000" w:rsidRDefault="00000000" w:rsidRPr="00000000" w14:paraId="0000000B">
      <w:pPr>
        <w:numPr>
          <w:ilvl w:val="0"/>
          <w:numId w:val="2"/>
        </w:numPr>
        <w:spacing w:after="200" w:before="240" w:lineRule="auto"/>
        <w:ind w:left="720" w:hanging="360"/>
      </w:pPr>
      <w:r w:rsidDel="00000000" w:rsidR="00000000" w:rsidRPr="00000000">
        <w:rPr>
          <w:rtl w:val="0"/>
        </w:rPr>
        <w:t xml:space="preserve">Digital care also raises important questions about care data. Information generated through assessments, care records, portals, telecare, remote monitoring, predictive tools and AI-enabled systems may concern people’s needs, risks, relationships, homes, capacities and caring arrangements. Such data should be collected, shared and used in ways that are transparent, proportionate, accountable and oriented towards the interests of people who draw on care and support.</w:t>
      </w:r>
    </w:p>
    <w:p w:rsidR="00000000" w:rsidDel="00000000" w:rsidP="00000000" w:rsidRDefault="00000000" w:rsidRPr="00000000" w14:paraId="0000000C">
      <w:pPr>
        <w:spacing w:after="240" w:before="240" w:lineRule="auto"/>
        <w:rPr>
          <w:b w:val="1"/>
          <w:bCs w:val="1"/>
        </w:rPr>
      </w:pPr>
      <w:r w:rsidDel="00000000" w:rsidR="00000000" w:rsidRPr="00000000">
        <w:rPr>
          <w:b w:val="1"/>
          <w:bCs w:val="1"/>
          <w:rtl w:val="0"/>
        </w:rPr>
        <w:t xml:space="preserve">This Council believes that:</w:t>
      </w:r>
    </w:p>
    <w:p w:rsidR="00000000" w:rsidDel="00000000" w:rsidP="00000000" w:rsidRDefault="00000000" w:rsidRPr="00000000" w14:paraId="0000000D">
      <w:pPr>
        <w:numPr>
          <w:ilvl w:val="0"/>
          <w:numId w:val="1"/>
        </w:numPr>
        <w:spacing w:after="200" w:before="240" w:lineRule="auto"/>
        <w:ind w:left="720" w:hanging="360"/>
      </w:pPr>
      <w:r w:rsidDel="00000000" w:rsidR="00000000" w:rsidRPr="00000000">
        <w:rPr>
          <w:rtl w:val="0"/>
        </w:rPr>
        <w:t xml:space="preserve">Digital transformation in adult social care and unpaid carer support should be </w:t>
      </w:r>
      <w:r w:rsidDel="00000000" w:rsidR="00000000" w:rsidRPr="00000000">
        <w:rPr>
          <w:b w:val="1"/>
          <w:bCs w:val="1"/>
          <w:rtl w:val="0"/>
        </w:rPr>
        <w:t xml:space="preserve">digital by choice, not by default</w:t>
      </w:r>
      <w:r w:rsidDel="00000000" w:rsidR="00000000" w:rsidRPr="00000000">
        <w:rPr>
          <w:rtl w:val="0"/>
        </w:rPr>
        <w:t xml:space="preserve">: digital routes should improve access and choice, while essential non-digital or assisted-digital routes remain available for people who need them.</w:t>
      </w:r>
    </w:p>
    <w:p w:rsidR="00000000" w:rsidDel="00000000" w:rsidP="00000000" w:rsidRDefault="00000000" w:rsidRPr="00000000" w14:paraId="0000000E">
      <w:pPr>
        <w:numPr>
          <w:ilvl w:val="0"/>
          <w:numId w:val="1"/>
        </w:numPr>
        <w:spacing w:after="200" w:before="0" w:lineRule="auto"/>
        <w:ind w:left="720" w:hanging="360"/>
      </w:pPr>
      <w:r w:rsidDel="00000000" w:rsidR="00000000" w:rsidRPr="00000000">
        <w:rPr>
          <w:rtl w:val="0"/>
        </w:rPr>
        <w:t xml:space="preserve">Digital services should add routes into support, not replace accessible telephone, written, face-to-face or assisted-digital routes for residents and carers who rely on them.</w:t>
      </w:r>
    </w:p>
    <w:p w:rsidR="00000000" w:rsidDel="00000000" w:rsidP="00000000" w:rsidRDefault="00000000" w:rsidRPr="00000000" w14:paraId="0000000F">
      <w:pPr>
        <w:numPr>
          <w:ilvl w:val="0"/>
          <w:numId w:val="1"/>
        </w:numPr>
        <w:spacing w:after="200" w:before="0" w:lineRule="auto"/>
        <w:ind w:left="720" w:hanging="360"/>
      </w:pPr>
      <w:r w:rsidDel="00000000" w:rsidR="00000000" w:rsidRPr="00000000">
        <w:rPr>
          <w:rtl w:val="0"/>
        </w:rPr>
        <w:t xml:space="preserve">People who draw on care and support, and unpaid carers, should be explicitly recognised as priority groups in local digital inclusion, adult social care transformation, carers, equality and health partnership work.</w:t>
      </w:r>
    </w:p>
    <w:p w:rsidR="00000000" w:rsidDel="00000000" w:rsidP="00000000" w:rsidRDefault="00000000" w:rsidRPr="00000000" w14:paraId="00000010">
      <w:pPr>
        <w:numPr>
          <w:ilvl w:val="0"/>
          <w:numId w:val="1"/>
        </w:numPr>
        <w:spacing w:after="200" w:before="0" w:lineRule="auto"/>
        <w:ind w:left="720" w:hanging="360"/>
      </w:pPr>
      <w:r w:rsidDel="00000000" w:rsidR="00000000" w:rsidRPr="00000000">
        <w:rPr>
          <w:rtl w:val="0"/>
        </w:rPr>
        <w:t xml:space="preserve">Digital care should be judged not only by whether it modernises services, but by whether it contributes to people’s wellbeing, dignity, autonomy, relationships, safety and ability to live the lives they value.</w:t>
      </w:r>
    </w:p>
    <w:p w:rsidR="00000000" w:rsidDel="00000000" w:rsidP="00000000" w:rsidRDefault="00000000" w:rsidRPr="00000000" w14:paraId="00000011">
      <w:pPr>
        <w:numPr>
          <w:ilvl w:val="0"/>
          <w:numId w:val="1"/>
        </w:numPr>
        <w:spacing w:after="200" w:before="0" w:lineRule="auto"/>
        <w:ind w:left="720" w:hanging="360"/>
      </w:pPr>
      <w:r w:rsidDel="00000000" w:rsidR="00000000" w:rsidRPr="00000000">
        <w:rPr>
          <w:rtl w:val="0"/>
        </w:rPr>
        <w:t xml:space="preserve">Telecare and other care technologies can support independence and safety, but only where risks are understood, responsibilities are clear, and residents and carers are properly informed and supported.</w:t>
      </w:r>
    </w:p>
    <w:p w:rsidR="00000000" w:rsidDel="00000000" w:rsidP="00000000" w:rsidRDefault="00000000" w:rsidRPr="00000000" w14:paraId="00000012">
      <w:pPr>
        <w:numPr>
          <w:ilvl w:val="0"/>
          <w:numId w:val="1"/>
        </w:numPr>
        <w:spacing w:after="200" w:before="0" w:lineRule="auto"/>
        <w:ind w:left="720" w:hanging="360"/>
      </w:pPr>
      <w:r w:rsidDel="00000000" w:rsidR="00000000" w:rsidRPr="00000000">
        <w:rPr>
          <w:rtl w:val="0"/>
        </w:rPr>
        <w:t xml:space="preserve">Artificial intelligence, automated tools and care data systems should support, not replace, person-centred care, professional judgement, relationship-based practice and people’s rights to explanation, challenge and human review.</w:t>
      </w:r>
    </w:p>
    <w:p w:rsidR="00000000" w:rsidDel="00000000" w:rsidP="00000000" w:rsidRDefault="00000000" w:rsidRPr="00000000" w14:paraId="00000013">
      <w:pPr>
        <w:numPr>
          <w:ilvl w:val="0"/>
          <w:numId w:val="1"/>
        </w:numPr>
        <w:spacing w:after="200" w:before="240" w:lineRule="auto"/>
        <w:ind w:left="720" w:hanging="360"/>
      </w:pPr>
      <w:r w:rsidDel="00000000" w:rsidR="00000000" w:rsidRPr="00000000">
        <w:rPr>
          <w:rtl w:val="0"/>
        </w:rPr>
        <w:t xml:space="preserve">Co-production in digital care should mean more than consultation after key decisions have already been made. People who draw on care and support, unpaid carers, frontline practitioners and community organisations should be involved early enough to influence priorities, design, procurement, implementation and evaluation.</w:t>
      </w:r>
    </w:p>
    <w:p w:rsidR="00000000" w:rsidDel="00000000" w:rsidP="00000000" w:rsidRDefault="00000000" w:rsidRPr="00000000" w14:paraId="00000014">
      <w:pPr>
        <w:spacing w:after="240" w:before="240" w:lineRule="auto"/>
        <w:rPr>
          <w:b w:val="1"/>
          <w:bCs w:val="1"/>
        </w:rPr>
      </w:pPr>
      <w:r w:rsidDel="00000000" w:rsidR="00000000" w:rsidRPr="00000000">
        <w:rPr>
          <w:b w:val="1"/>
          <w:bCs w:val="1"/>
          <w:rtl w:val="0"/>
        </w:rPr>
        <w:t xml:space="preserve">This Council therefore resolves to:</w:t>
      </w:r>
    </w:p>
    <w:p w:rsidR="00000000" w:rsidDel="00000000" w:rsidP="00000000" w:rsidRDefault="00000000" w:rsidRPr="00000000" w14:paraId="00000015">
      <w:pPr>
        <w:numPr>
          <w:ilvl w:val="0"/>
          <w:numId w:val="3"/>
        </w:numPr>
        <w:spacing w:after="200" w:afterAutospacing="0" w:before="240" w:lineRule="auto"/>
        <w:ind w:left="720" w:hanging="360"/>
      </w:pPr>
      <w:r w:rsidDel="00000000" w:rsidR="00000000" w:rsidRPr="00000000">
        <w:rPr>
          <w:b w:val="1"/>
          <w:bCs w:val="1"/>
          <w:rtl w:val="0"/>
        </w:rPr>
        <w:t xml:space="preserve">Request a report to the relevant scrutiny committee and Cabinet Member within 6 months</w:t>
      </w:r>
      <w:r w:rsidDel="00000000" w:rsidR="00000000" w:rsidRPr="00000000">
        <w:rPr>
          <w:rtl w:val="0"/>
        </w:rPr>
        <w:t xml:space="preserve"> on digital inclusion, accessibility, safety and accountability in adult social care and unpaid carer support, informed by Centre for Care research and by engagement with people who draw on care and support, unpaid carers, frontline practitioners and local voluntary and community organisations.</w:t>
      </w:r>
    </w:p>
    <w:p w:rsidR="00000000" w:rsidDel="00000000" w:rsidP="00000000" w:rsidRDefault="00000000" w:rsidRPr="00000000" w14:paraId="00000016">
      <w:pPr>
        <w:numPr>
          <w:ilvl w:val="0"/>
          <w:numId w:val="3"/>
        </w:numPr>
        <w:spacing w:after="0" w:afterAutospacing="0" w:before="200" w:beforeAutospacing="0" w:lineRule="auto"/>
        <w:ind w:left="720" w:hanging="360"/>
      </w:pPr>
      <w:r w:rsidDel="00000000" w:rsidR="00000000" w:rsidRPr="00000000">
        <w:rPr>
          <w:rtl w:val="0"/>
        </w:rPr>
        <w:t xml:space="preserve">Ensure that this report considers five priority areas:</w:t>
      </w:r>
    </w:p>
    <w:p w:rsidR="00000000" w:rsidDel="00000000" w:rsidP="00000000" w:rsidRDefault="00000000" w:rsidRPr="00000000" w14:paraId="00000017">
      <w:pPr>
        <w:numPr>
          <w:ilvl w:val="1"/>
          <w:numId w:val="3"/>
        </w:numPr>
        <w:spacing w:after="0" w:afterAutospacing="0" w:before="0" w:beforeAutospacing="0" w:lineRule="auto"/>
        <w:ind w:left="1440" w:hanging="360"/>
      </w:pPr>
      <w:r w:rsidDel="00000000" w:rsidR="00000000" w:rsidRPr="00000000">
        <w:rPr>
          <w:rtl w:val="0"/>
        </w:rPr>
        <w:t xml:space="preserve">whether essential adult social care and carer support routes remain accessible to people who cannot, or do not wish to, use digital tools, including information and advice, assessments, safeguarding, complaints and urgent support;</w:t>
      </w:r>
    </w:p>
    <w:p w:rsidR="00000000" w:rsidDel="00000000" w:rsidP="00000000" w:rsidRDefault="00000000" w:rsidRPr="00000000" w14:paraId="00000018">
      <w:pPr>
        <w:numPr>
          <w:ilvl w:val="1"/>
          <w:numId w:val="3"/>
        </w:numPr>
        <w:spacing w:after="0" w:afterAutospacing="0" w:before="0" w:beforeAutospacing="0" w:lineRule="auto"/>
        <w:ind w:left="1440" w:hanging="360"/>
      </w:pPr>
      <w:r w:rsidDel="00000000" w:rsidR="00000000" w:rsidRPr="00000000">
        <w:rPr>
          <w:rtl w:val="0"/>
        </w:rPr>
        <w:t xml:space="preserve">how people who draw on care and unpaid carers are recognised within existing adult social care transformation, carers, digital inclusion, equality, library/community hub and health partnership work;</w:t>
      </w:r>
    </w:p>
    <w:p w:rsidR="00000000" w:rsidDel="00000000" w:rsidP="00000000" w:rsidRDefault="00000000" w:rsidRPr="00000000" w14:paraId="00000019">
      <w:pPr>
        <w:numPr>
          <w:ilvl w:val="1"/>
          <w:numId w:val="3"/>
        </w:numPr>
        <w:spacing w:after="0" w:afterAutospacing="0" w:before="0" w:beforeAutospacing="0" w:lineRule="auto"/>
        <w:ind w:left="1440" w:hanging="360"/>
      </w:pPr>
      <w:r w:rsidDel="00000000" w:rsidR="00000000" w:rsidRPr="00000000">
        <w:rPr>
          <w:rtl w:val="0"/>
        </w:rPr>
        <w:t xml:space="preserve">what practical digital inclusion support is available locally, including assisted-digital support, skills and confidence-building, online safety advice, and signposting to low-cost connectivity, social tariffs, device schemes or data support where available;</w:t>
      </w:r>
    </w:p>
    <w:p w:rsidR="00000000" w:rsidDel="00000000" w:rsidP="00000000" w:rsidRDefault="00000000" w:rsidRPr="00000000" w14:paraId="0000001A">
      <w:pPr>
        <w:numPr>
          <w:ilvl w:val="1"/>
          <w:numId w:val="3"/>
        </w:numPr>
        <w:spacing w:after="0" w:afterAutospacing="0" w:before="0" w:beforeAutospacing="0" w:lineRule="auto"/>
        <w:ind w:left="1440" w:hanging="360"/>
      </w:pPr>
      <w:r w:rsidDel="00000000" w:rsidR="00000000" w:rsidRPr="00000000">
        <w:rPr>
          <w:rtl w:val="0"/>
        </w:rPr>
        <w:t xml:space="preserve">how care data is collected, used, shared, retained and governed across adult social care and unpaid carer support, including through care records, portals, telecare, remote monitoring, automated decision-support tools and AI-enabled systems;</w:t>
      </w:r>
    </w:p>
    <w:p w:rsidR="00000000" w:rsidDel="00000000" w:rsidP="00000000" w:rsidRDefault="00000000" w:rsidRPr="00000000" w14:paraId="0000001B">
      <w:pPr>
        <w:numPr>
          <w:ilvl w:val="1"/>
          <w:numId w:val="3"/>
        </w:numPr>
        <w:spacing w:after="200" w:before="0" w:lineRule="auto"/>
        <w:ind w:left="1440" w:hanging="360"/>
      </w:pPr>
      <w:r w:rsidDel="00000000" w:rsidR="00000000" w:rsidRPr="00000000">
        <w:rPr>
          <w:rtl w:val="0"/>
        </w:rPr>
        <w:t xml:space="preserve">whether procurement and commissioning processes for digital care technologies require accessibility, data protection, equality impact assessment, clear accountability and meaningful involvement of people who draw on care and unpaid carers before implementation.</w:t>
      </w:r>
    </w:p>
    <w:p w:rsidR="00000000" w:rsidDel="00000000" w:rsidP="00000000" w:rsidRDefault="00000000" w:rsidRPr="00000000" w14:paraId="0000001C">
      <w:pPr>
        <w:numPr>
          <w:ilvl w:val="0"/>
          <w:numId w:val="3"/>
        </w:numPr>
        <w:spacing w:after="200" w:before="0" w:lineRule="auto"/>
        <w:ind w:left="720" w:hanging="360"/>
      </w:pPr>
      <w:r w:rsidDel="00000000" w:rsidR="00000000" w:rsidRPr="00000000">
        <w:rPr>
          <w:b w:val="1"/>
          <w:bCs w:val="1"/>
          <w:rtl w:val="0"/>
        </w:rPr>
        <w:t xml:space="preserve">Commit to the principle that essential adult social care and carer support services should not become digital by default without adequate alternatives</w:t>
      </w:r>
      <w:r w:rsidDel="00000000" w:rsidR="00000000" w:rsidRPr="00000000">
        <w:rPr>
          <w:rtl w:val="0"/>
        </w:rPr>
        <w:t xml:space="preserve">, and that residents and carers should be able to access appropriate telephone, written, face-to-face or assisted-digital support where needed.</w:t>
      </w:r>
    </w:p>
    <w:p w:rsidR="00000000" w:rsidDel="00000000" w:rsidP="00000000" w:rsidRDefault="00000000" w:rsidRPr="00000000" w14:paraId="0000001D">
      <w:pPr>
        <w:numPr>
          <w:ilvl w:val="0"/>
          <w:numId w:val="3"/>
        </w:numPr>
        <w:spacing w:after="200" w:before="0" w:lineRule="auto"/>
        <w:ind w:left="720" w:hanging="360"/>
      </w:pPr>
      <w:r w:rsidDel="00000000" w:rsidR="00000000" w:rsidRPr="00000000">
        <w:rPr>
          <w:b w:val="1"/>
          <w:bCs w:val="1"/>
          <w:rtl w:val="0"/>
        </w:rPr>
        <w:t xml:space="preserve">Seek assurance on local preparedness for the analogue-to-digital switchover</w:t>
      </w:r>
      <w:r w:rsidDel="00000000" w:rsidR="00000000" w:rsidRPr="00000000">
        <w:rPr>
          <w:rtl w:val="0"/>
        </w:rPr>
        <w:t xml:space="preserve">, including whether people who rely on telecare are identified, contacted, supported and protected; whether devices have been tested or upgraded where necessary; and whether clear escalation and communication arrangements are in place with telecare providers and telecommunications partners.</w:t>
      </w:r>
    </w:p>
    <w:p w:rsidR="00000000" w:rsidDel="00000000" w:rsidP="00000000" w:rsidRDefault="00000000" w:rsidRPr="00000000" w14:paraId="0000001E">
      <w:pPr>
        <w:numPr>
          <w:ilvl w:val="0"/>
          <w:numId w:val="3"/>
        </w:numPr>
        <w:spacing w:after="200" w:before="0" w:lineRule="auto"/>
        <w:ind w:left="720" w:hanging="360"/>
      </w:pPr>
      <w:r w:rsidDel="00000000" w:rsidR="00000000" w:rsidRPr="00000000">
        <w:rPr>
          <w:b w:val="1"/>
          <w:bCs w:val="1"/>
          <w:rtl w:val="0"/>
        </w:rPr>
        <w:t xml:space="preserve">Review, as far as practicable, how artificial intelligence or automated decision-support tools are currently being used or procured by the Council in adult social care and carer support</w:t>
      </w:r>
      <w:r w:rsidDel="00000000" w:rsidR="00000000" w:rsidRPr="00000000">
        <w:rPr>
          <w:rtl w:val="0"/>
        </w:rPr>
        <w:t xml:space="preserve">, and ensure that any such use is governed by clear principles of transparency, equality and accessibility, data protection, human oversight, accountability, and the right to explanation, challenge and review. Where such tools may affect people’s access to care, support, safeguarding or rights, residents and carers should have access to a named human contact, a meaningful explanation, a route to challenge, and an alternative process where needed.</w:t>
      </w:r>
    </w:p>
    <w:p w:rsidR="00000000" w:rsidDel="00000000" w:rsidP="00000000" w:rsidRDefault="00000000" w:rsidRPr="00000000" w14:paraId="0000001F">
      <w:pPr>
        <w:numPr>
          <w:ilvl w:val="0"/>
          <w:numId w:val="3"/>
        </w:numPr>
        <w:spacing w:after="200" w:before="240" w:lineRule="auto"/>
        <w:ind w:left="720" w:hanging="360"/>
      </w:pPr>
      <w:r w:rsidDel="00000000" w:rsidR="00000000" w:rsidRPr="00000000">
        <w:rPr>
          <w:b w:val="1"/>
          <w:bCs w:val="1"/>
          <w:rtl w:val="0"/>
        </w:rPr>
        <w:t xml:space="preserve">Ensure that recommendations from the scrutiny report are incorporated into relevant existing strategies, commissioning plans and improvement work</w:t>
      </w:r>
      <w:r w:rsidDel="00000000" w:rsidR="00000000" w:rsidRPr="00000000">
        <w:rPr>
          <w:rtl w:val="0"/>
        </w:rPr>
        <w:t xml:space="preserve">, rather than treated as a standalone technology issue, and receive an update within 12 months on progress made to protect non-digital access, improve digital inclusion support, manage telecare risks, strengthen care data governance, and ensure ethical use of AI and automated tools in adult social care.</w:t>
      </w:r>
    </w:p>
    <w:p w:rsidR="00000000" w:rsidDel="00000000" w:rsidP="00000000" w:rsidRDefault="00000000" w:rsidRPr="00000000" w14:paraId="00000020">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CyljOvwmLyJaOSepKhTY17JaQ==">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